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88</w:t>
      </w:r>
    </w:p>
    <w:p>
      <w:r>
        <w:t>Bundesgericht (BGE), 2008-04-04, FR</w:t>
      </w:r>
    </w:p>
    <w:p>
      <w:r>
        <w:rPr>
          <w:b/>
        </w:rPr>
        <w:t xml:space="preserve">Quelle: </w:t>
      </w:r>
      <w:r>
        <w:t>https://mcp.opencaselaw.ch/entscheid/bge_135 III 88</w:t>
      </w:r>
    </w:p>
    <w:p>
      <w:r>
        <w:t>FR: ATF 135 III 88</w:t>
      </w:r>
    </w:p>
    <w:p>
      <w:r>
        <w:t>IT: DTF 135 III 88</w:t>
      </w:r>
    </w:p>
    <w:p>
      <w:pPr>
        <w:pStyle w:val="Heading2"/>
      </w:pPr>
      <w:r>
        <w:t>Regeste</w:t>
      </w:r>
    </w:p>
    <w:p>
      <w:r>
        <w:t>Regeste Art. 67 Abs. 1 Ziff. 3 SchKG; Umrechnungskurs in gesetzliche Schweizerwährung für eine in Euro festgelegte Forderung. Der Umrechnungskurs des Euro ist eine notorische Tatsache, die vom Betreibungsgläubiger weder behauptet noch bewiesen werden muss (E. 4).</w:t>
      </w:r>
    </w:p>
    <w:p>
      <w:pPr>
        <w:pStyle w:val="Heading2"/>
      </w:pPr>
      <w:r>
        <w:t>Erwägungen</w:t>
      </w:r>
    </w:p>
    <w:p>
      <w:r>
        <w:rPr>
          <w:b/>
        </w:rPr>
        <w:t>E. 4</w:t>
      </w:r>
    </w:p>
    <w:p>
      <w:r>
        <w:t>Le recourant soutient qu'en jugeant que l'intimée ne devait pas prouver par pièce le taux de change entre l'euro et le franc suisse, la cour cantonale aurait violé l' art. 80 al. 1 LP .</w:t>
      </w:r>
    </w:p>
    <w:p>
      <w:r>
        <w:rPr>
          <w:b/>
        </w:rPr>
        <w:t>E. 4.1</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 ATF 134 III 151 consid. 2.3 et les références citées; ROLAND RUEDIN, in Commentaire romand, Poursuite et faillite, 2005, n os 27 s. ad art. 67 LP ). La conversion se fait au cours de l'offre des devises du jour de la réquisition de poursuite ( ATF 51 III 180 consid. 4; BlSchK 1997 p. 62 consid. 5e; RUEDIN, op. cit., n os 29 s. ad art. 67 LP ). Selon la jurisprudence, les faits notoires, qu'il n'est pas nécessaire d'alléguer ni de prouver (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VOGEL/SPÜHLER, Grundriss des Zivilprozessrechts, 8 e éd. 2006, p. 255 n. 17; FABIENNE HOHL, Procédure civile, tome I, 2001, n. 945). La jurisprudence précise que, pour être notoire, un renseignement ne doit pas être constamment BGE 135 III 88 S. 90 présent à l'esprit, il suffit qu'il puisse être contrôlé par des publications accessibles à chacun (arrêt du Tribunal fédéral 4P.277/1998 du 22 février 1999 consid. 3d, in RSDIE 2000 p. 575). De nos jours, le taux de conversion des monnaies est un fait notoire, qui ne doit être ni allégué ni prouvé. Il peut en effet être contrôlé sur internet, par des publications officielles et dans la presse écrite; il est donc accessible à chacun (cf. arrêt du Tribunal fédéral 5P.236/1988 du 8 novembre 1988 consid. 1b, in SJ 1989 p. 205; arrêt du Tribunal fédéral 4P.277/1998 du 22 février 1999 consid. 3d, in RSDIE 2000 p. 575; également PIERRE-ROBERT GILLIÉRON, Commentaire de la loi fédérale sur la poursuite pour dettes et la faillite, art. 1-88 LP , 1999, n o 63 ad art. 80 LP ). L'internet permet en outre d'accéder rapidement au taux de conversion en vigueur à une date donnée - par exemple la date de la réquisition de poursuite -; il n'est donc pas nécessaire d'obtenir une confirmation bancaire ou une copie de la presse parue à la date recherchée. Il suffit ainsi de quelques minutes pour déterminer qu'au 1 er octobre 2007, le cours de l'euro en francs suisses était de 1,6603 et effectuer ensuite la conversion des 1'645 euros en francs suisses ( http://www.fxtop.com donne les taux officiels diffusés par la Banque centrale européenne).</w:t>
      </w:r>
    </w:p>
    <w:p>
      <w:r>
        <w:rPr>
          <w:b/>
        </w:rPr>
        <w:t>E. 4.2</w:t>
      </w:r>
    </w:p>
    <w:p>
      <w:r>
        <w:t>C'est par conséquent à tort que le recourant soutient que le taux de conversion doit être prouvé par pièces et qu'il y aurait donc violation de l' art. 80 al. 1 LP pour ce motif. La cour cantonale a fixé le taux de conversion à 1,65 fr., soit à un taux inférieur au taux réel notoire de 1,6603 fr. La poursuivante n'ayant cependant pas recouru contre l'arrêt cantonal, il n'y a pas lieu de réformer cette décision en sa faveur. Il est superflu d'examiner les griefs formulés par le recourant à l'encontre de la "valeur approximative" retenue par la Cour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